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D676E" w14:textId="77777777" w:rsidR="00EC1B8A" w:rsidRDefault="00EC1B8A">
      <w:pPr>
        <w:rPr>
          <w:b/>
          <w:bCs/>
        </w:rPr>
      </w:pPr>
    </w:p>
    <w:p w14:paraId="5094F97E" w14:textId="50713890" w:rsidR="001C1FFC" w:rsidRPr="001C1FFC" w:rsidRDefault="00973178">
      <w:pPr>
        <w:rPr>
          <w:b/>
          <w:bCs/>
        </w:rPr>
      </w:pPr>
      <w:r>
        <w:rPr>
          <w:b/>
          <w:bCs/>
        </w:rPr>
        <w:t xml:space="preserve">JOB: </w:t>
      </w:r>
      <w:r w:rsidR="00DB6246">
        <w:rPr>
          <w:b/>
          <w:bCs/>
        </w:rPr>
        <w:t>CONTRACT PHARMACOVIGILANCE PHYSICIAN</w:t>
      </w:r>
    </w:p>
    <w:p w14:paraId="2DFBC9C9" w14:textId="02190972" w:rsidR="00973178" w:rsidRPr="00973178" w:rsidRDefault="00DB6246" w:rsidP="001C1FFC">
      <w:pPr>
        <w:rPr>
          <w:u w:val="single"/>
        </w:rPr>
      </w:pPr>
      <w:r>
        <w:rPr>
          <w:u w:val="single"/>
        </w:rPr>
        <w:t>About</w:t>
      </w:r>
      <w:r w:rsidR="00973178" w:rsidRPr="00973178">
        <w:rPr>
          <w:u w:val="single"/>
        </w:rPr>
        <w:t xml:space="preserve"> MWB Consulting</w:t>
      </w:r>
    </w:p>
    <w:p w14:paraId="1FF44A68" w14:textId="1FF3B51A" w:rsidR="001C1FFC" w:rsidRPr="001C1FFC" w:rsidRDefault="001C1FFC" w:rsidP="001C1FFC">
      <w:r w:rsidRPr="001C1FFC">
        <w:t xml:space="preserve">Offering consulting services to the pharmaceutical industry since 2001, MWB Consulting advises the pharmaceutical industry, institutions, researchers, and investors regarding the development, regulatory approval, and </w:t>
      </w:r>
      <w:proofErr w:type="spellStart"/>
      <w:r w:rsidRPr="001C1FFC">
        <w:t>postmarketing</w:t>
      </w:r>
      <w:proofErr w:type="spellEnd"/>
      <w:r w:rsidRPr="001C1FFC">
        <w:t xml:space="preserve"> scientific support for medicinal products, biologics, medical devices, cosmetics, and advanced therapies.</w:t>
      </w:r>
      <w:r w:rsidR="000C354D">
        <w:t xml:space="preserve"> </w:t>
      </w:r>
      <w:r w:rsidRPr="001C1FFC">
        <w:t>With our in-house team of highly experienced industry</w:t>
      </w:r>
      <w:r w:rsidR="000C354D">
        <w:t xml:space="preserve"> </w:t>
      </w:r>
      <w:r w:rsidR="00410FE1">
        <w:t xml:space="preserve">experts </w:t>
      </w:r>
      <w:r w:rsidR="000C354D">
        <w:t>based in the UK and the EU</w:t>
      </w:r>
      <w:r w:rsidRPr="001C1FFC">
        <w:t>, allied to a wide range of associate consultants in the MWB Consulting Network™, we can assist our clients with ad hoc advice, troubleshooting specific project issues, or forming, leading or being members of a specialised team across several disciplines.</w:t>
      </w:r>
    </w:p>
    <w:p w14:paraId="3925F3B1" w14:textId="77777777" w:rsidR="00DB6246" w:rsidRDefault="00DB6246"/>
    <w:p w14:paraId="3E6D3598" w14:textId="77777777" w:rsidR="00DB6246" w:rsidRDefault="00DB6246">
      <w:r w:rsidRPr="00DB6246">
        <w:rPr>
          <w:u w:val="single"/>
        </w:rPr>
        <w:t>The Work</w:t>
      </w:r>
    </w:p>
    <w:p w14:paraId="7C43A4EF" w14:textId="7EADCD4D" w:rsidR="00DB6246" w:rsidRDefault="00DB6246">
      <w:r>
        <w:t xml:space="preserve">One of our services is provision of pharmacovigilance and device vigilance to selected clients. This service is primarily intended for SAEs and SUSARs arising from clinical development. </w:t>
      </w:r>
    </w:p>
    <w:p w14:paraId="14800335" w14:textId="54D96D2B" w:rsidR="00DB6246" w:rsidRDefault="00DB6246">
      <w:r>
        <w:t xml:space="preserve">We have two hosted databases; the primary </w:t>
      </w:r>
      <w:proofErr w:type="gramStart"/>
      <w:r>
        <w:t>being located in</w:t>
      </w:r>
      <w:proofErr w:type="gramEnd"/>
      <w:r>
        <w:t xml:space="preserve"> France. </w:t>
      </w:r>
    </w:p>
    <w:p w14:paraId="1A2B0F8A" w14:textId="343DE968" w:rsidR="00DB6246" w:rsidRDefault="00DB6246">
      <w:r>
        <w:t>Due to growth of the service, we now require a contract pharmacovigilance physician whose primary duties will be to review ICSRs in the database, ensure consistent and accurate MedDRA coding, case assessment, analysis of similar events, and prepare the case narrative.</w:t>
      </w:r>
    </w:p>
    <w:p w14:paraId="46300C01" w14:textId="35E770F1" w:rsidR="00DB6246" w:rsidRDefault="00DB6246">
      <w:r>
        <w:t xml:space="preserve">For younger pharma professionals, you will be working alongside one of our Principal Consultants – the opportunity for learning will be immense.  </w:t>
      </w:r>
    </w:p>
    <w:p w14:paraId="031D8374" w14:textId="77777777" w:rsidR="00DB6246" w:rsidRDefault="00DB6246" w:rsidP="000C354D">
      <w:pPr>
        <w:rPr>
          <w:u w:val="single"/>
        </w:rPr>
      </w:pPr>
    </w:p>
    <w:p w14:paraId="6B28A441" w14:textId="2D21C208" w:rsidR="000C354D" w:rsidRPr="000C354D" w:rsidRDefault="00973178" w:rsidP="000C354D">
      <w:pPr>
        <w:rPr>
          <w:u w:val="single"/>
        </w:rPr>
      </w:pPr>
      <w:r w:rsidRPr="00973178">
        <w:rPr>
          <w:u w:val="single"/>
        </w:rPr>
        <w:t xml:space="preserve">The </w:t>
      </w:r>
      <w:r w:rsidR="000C354D" w:rsidRPr="000C354D">
        <w:rPr>
          <w:u w:val="single"/>
        </w:rPr>
        <w:t>Requirements</w:t>
      </w:r>
    </w:p>
    <w:p w14:paraId="5AA8E860" w14:textId="611D8E2A" w:rsidR="00EC1B8A" w:rsidRDefault="00746263" w:rsidP="000C354D">
      <w:r>
        <w:t>First and foremost, you must be able to deliver the highest quality professional services calmly and with</w:t>
      </w:r>
      <w:r w:rsidR="00DB6246">
        <w:t>out hysterics</w:t>
      </w:r>
      <w:r>
        <w:t>. Secondly, y</w:t>
      </w:r>
      <w:r w:rsidR="000C354D" w:rsidRPr="000C354D">
        <w:t xml:space="preserve">ou must </w:t>
      </w:r>
      <w:r>
        <w:t>have</w:t>
      </w:r>
      <w:r w:rsidR="000C354D" w:rsidRPr="000C354D">
        <w:t xml:space="preserve"> experience in</w:t>
      </w:r>
      <w:r w:rsidR="00DB6246">
        <w:t xml:space="preserve"> pharmacovigilance case management, and ideally with device vigilance case management.</w:t>
      </w:r>
      <w:r w:rsidR="000C354D" w:rsidRPr="000C354D">
        <w:t xml:space="preserve"> </w:t>
      </w:r>
      <w:r w:rsidR="00DB6246">
        <w:t xml:space="preserve">A good knowledge of the entire ICSR process would be ideal. </w:t>
      </w:r>
      <w:r w:rsidR="000C354D" w:rsidRPr="000C354D">
        <w:br/>
      </w:r>
    </w:p>
    <w:p w14:paraId="11324BC0" w14:textId="61B793AB" w:rsidR="000C354D" w:rsidRPr="000C354D" w:rsidRDefault="00BD2106" w:rsidP="000C354D">
      <w:r>
        <w:t>Specifically, y</w:t>
      </w:r>
      <w:r w:rsidR="000C354D" w:rsidRPr="000C354D">
        <w:t>ou should also have the following:</w:t>
      </w:r>
    </w:p>
    <w:p w14:paraId="4C9C2305" w14:textId="603D4A78" w:rsidR="00BD2106" w:rsidRDefault="00DB6246" w:rsidP="00BD2106">
      <w:pPr>
        <w:numPr>
          <w:ilvl w:val="0"/>
          <w:numId w:val="3"/>
        </w:numPr>
        <w:spacing w:after="0"/>
      </w:pPr>
      <w:r>
        <w:t>A medical degree</w:t>
      </w:r>
    </w:p>
    <w:p w14:paraId="54C1CD2C" w14:textId="41F0B312" w:rsidR="000C354D" w:rsidRPr="000C354D" w:rsidRDefault="00BD2106" w:rsidP="00BD2106">
      <w:pPr>
        <w:numPr>
          <w:ilvl w:val="0"/>
          <w:numId w:val="3"/>
        </w:numPr>
        <w:shd w:val="clear" w:color="auto" w:fill="FFFFFF"/>
        <w:spacing w:before="100" w:beforeAutospacing="1" w:after="0" w:line="240" w:lineRule="auto"/>
        <w:rPr>
          <w:rFonts w:eastAsia="Times New Roman" w:cstheme="minorHAnsi"/>
          <w:color w:val="2D2D2D"/>
          <w:lang w:eastAsia="en-GB"/>
        </w:rPr>
      </w:pPr>
      <w:r>
        <w:rPr>
          <w:rFonts w:eastAsia="Times New Roman" w:cstheme="minorHAnsi"/>
          <w:color w:val="2D2D2D"/>
          <w:lang w:eastAsia="en-GB"/>
        </w:rPr>
        <w:t>Excellent communication skills with the ability to persuade and influence without entering conflict</w:t>
      </w:r>
    </w:p>
    <w:p w14:paraId="29E8FF6E" w14:textId="6D5BD3C2" w:rsidR="000C354D" w:rsidRDefault="00BD2106" w:rsidP="00BD2106">
      <w:pPr>
        <w:numPr>
          <w:ilvl w:val="0"/>
          <w:numId w:val="3"/>
        </w:numPr>
        <w:shd w:val="clear" w:color="auto" w:fill="FFFFFF"/>
        <w:spacing w:before="100" w:beforeAutospacing="1" w:after="0" w:line="240" w:lineRule="auto"/>
        <w:rPr>
          <w:rFonts w:eastAsia="Times New Roman" w:cstheme="minorHAnsi"/>
          <w:color w:val="2D2D2D"/>
          <w:lang w:eastAsia="en-GB"/>
        </w:rPr>
      </w:pPr>
      <w:r>
        <w:rPr>
          <w:rFonts w:eastAsia="Times New Roman" w:cstheme="minorHAnsi"/>
          <w:color w:val="2D2D2D"/>
          <w:lang w:eastAsia="en-GB"/>
        </w:rPr>
        <w:t>Understanding of the needs of key</w:t>
      </w:r>
      <w:r w:rsidR="000C354D" w:rsidRPr="000C354D">
        <w:rPr>
          <w:rFonts w:eastAsia="Times New Roman" w:cstheme="minorHAnsi"/>
          <w:color w:val="2D2D2D"/>
          <w:lang w:eastAsia="en-GB"/>
        </w:rPr>
        <w:t xml:space="preserve"> stakeholders</w:t>
      </w:r>
      <w:r>
        <w:rPr>
          <w:rFonts w:eastAsia="Times New Roman" w:cstheme="minorHAnsi"/>
          <w:color w:val="2D2D2D"/>
          <w:lang w:eastAsia="en-GB"/>
        </w:rPr>
        <w:t xml:space="preserve"> </w:t>
      </w:r>
    </w:p>
    <w:p w14:paraId="02F7235F" w14:textId="4D6D8C8D" w:rsidR="00BD2106" w:rsidRDefault="00BD2106" w:rsidP="00BD2106">
      <w:pPr>
        <w:numPr>
          <w:ilvl w:val="0"/>
          <w:numId w:val="3"/>
        </w:numPr>
        <w:shd w:val="clear" w:color="auto" w:fill="FFFFFF"/>
        <w:spacing w:before="100" w:beforeAutospacing="1" w:after="0" w:line="240" w:lineRule="auto"/>
        <w:rPr>
          <w:rFonts w:eastAsia="Times New Roman" w:cstheme="minorHAnsi"/>
          <w:color w:val="2D2D2D"/>
          <w:lang w:eastAsia="en-GB"/>
        </w:rPr>
      </w:pPr>
      <w:r>
        <w:rPr>
          <w:rFonts w:eastAsia="Times New Roman" w:cstheme="minorHAnsi"/>
          <w:color w:val="2D2D2D"/>
          <w:lang w:eastAsia="en-GB"/>
        </w:rPr>
        <w:t>A ‘get it done’ work ethic</w:t>
      </w:r>
    </w:p>
    <w:p w14:paraId="323A8D9E" w14:textId="605304EB" w:rsidR="00973178" w:rsidRPr="00973178" w:rsidRDefault="00973178" w:rsidP="00BD2106">
      <w:pPr>
        <w:shd w:val="clear" w:color="auto" w:fill="FFFFFF"/>
        <w:spacing w:before="100" w:beforeAutospacing="1" w:after="0" w:line="240" w:lineRule="auto"/>
        <w:rPr>
          <w:rFonts w:eastAsia="Times New Roman" w:cstheme="minorHAnsi"/>
          <w:color w:val="2D2D2D"/>
          <w:u w:val="single"/>
          <w:lang w:eastAsia="en-GB"/>
        </w:rPr>
      </w:pPr>
      <w:r w:rsidRPr="00973178">
        <w:rPr>
          <w:rFonts w:eastAsia="Times New Roman" w:cstheme="minorHAnsi"/>
          <w:color w:val="2D2D2D"/>
          <w:u w:val="single"/>
          <w:lang w:eastAsia="en-GB"/>
        </w:rPr>
        <w:t>The Rewards</w:t>
      </w:r>
    </w:p>
    <w:p w14:paraId="4BDFBB95" w14:textId="2E4E27B5" w:rsidR="000C354D" w:rsidRDefault="00DB6246" w:rsidP="00652564">
      <w:pPr>
        <w:shd w:val="clear" w:color="auto" w:fill="FFFFFF"/>
        <w:spacing w:before="100" w:beforeAutospacing="1" w:after="0" w:line="240" w:lineRule="auto"/>
      </w:pPr>
      <w:r>
        <w:rPr>
          <w:rFonts w:eastAsia="Times New Roman" w:cstheme="minorHAnsi"/>
          <w:color w:val="2D2D2D"/>
          <w:lang w:eastAsia="en-GB"/>
        </w:rPr>
        <w:t xml:space="preserve">We can pay a decent hourly rate. The commitment will be variable, possibly up to 2 days per week at peak. Therefore, we look to your flexibility. </w:t>
      </w:r>
      <w:bookmarkStart w:id="0" w:name="_GoBack"/>
      <w:bookmarkEnd w:id="0"/>
      <w:r w:rsidR="000C354D" w:rsidRPr="000C354D">
        <w:rPr>
          <w:rFonts w:ascii="Noto Sans" w:eastAsia="Times New Roman" w:hAnsi="Noto Sans" w:cs="Times New Roman"/>
          <w:color w:val="2D2D2D"/>
          <w:sz w:val="20"/>
          <w:szCs w:val="20"/>
          <w:lang w:eastAsia="en-GB"/>
        </w:rPr>
        <w:br/>
      </w:r>
    </w:p>
    <w:sectPr w:rsidR="000C354D">
      <w:head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EF32" w16cex:dateUtc="2020-06-30T16:04:00Z"/>
  <w16cex:commentExtensible w16cex:durableId="22A5EFB6" w16cex:dateUtc="2020-06-30T16:07:00Z"/>
  <w16cex:commentExtensible w16cex:durableId="22A5EFD8" w16cex:dateUtc="2020-06-30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AC36" w14:textId="77777777" w:rsidR="00E82D11" w:rsidRDefault="00E82D11" w:rsidP="001C1FFC">
      <w:pPr>
        <w:spacing w:after="0" w:line="240" w:lineRule="auto"/>
      </w:pPr>
      <w:r>
        <w:separator/>
      </w:r>
    </w:p>
  </w:endnote>
  <w:endnote w:type="continuationSeparator" w:id="0">
    <w:p w14:paraId="33EABE4D" w14:textId="77777777" w:rsidR="00E82D11" w:rsidRDefault="00E82D11" w:rsidP="001C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625A" w14:textId="77777777" w:rsidR="00E82D11" w:rsidRDefault="00E82D11" w:rsidP="001C1FFC">
      <w:pPr>
        <w:spacing w:after="0" w:line="240" w:lineRule="auto"/>
      </w:pPr>
      <w:r>
        <w:separator/>
      </w:r>
    </w:p>
  </w:footnote>
  <w:footnote w:type="continuationSeparator" w:id="0">
    <w:p w14:paraId="53FE3884" w14:textId="77777777" w:rsidR="00E82D11" w:rsidRDefault="00E82D11" w:rsidP="001C1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4508"/>
      <w:gridCol w:w="4508"/>
    </w:tblGrid>
    <w:tr w:rsidR="001C1FFC" w14:paraId="38916630" w14:textId="77777777" w:rsidTr="001C1FFC">
      <w:trPr>
        <w:jc w:val="center"/>
      </w:trPr>
      <w:tc>
        <w:tcPr>
          <w:tcW w:w="4508" w:type="dxa"/>
          <w:shd w:val="clear" w:color="auto" w:fill="1F4E79" w:themeFill="accent5" w:themeFillShade="80"/>
          <w:vAlign w:val="center"/>
        </w:tcPr>
        <w:p w14:paraId="362A5C57" w14:textId="0E0A230E" w:rsidR="001C1FFC" w:rsidRDefault="001C1FFC" w:rsidP="001C1FFC">
          <w:pPr>
            <w:pStyle w:val="Header"/>
          </w:pPr>
          <w:r>
            <w:rPr>
              <w:noProof/>
            </w:rPr>
            <w:drawing>
              <wp:inline distT="0" distB="0" distL="0" distR="0" wp14:anchorId="35EF7C5F" wp14:editId="3F830966">
                <wp:extent cx="2000250" cy="304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000250" cy="304800"/>
                        </a:xfrm>
                        <a:prstGeom prst="rect">
                          <a:avLst/>
                        </a:prstGeom>
                      </pic:spPr>
                    </pic:pic>
                  </a:graphicData>
                </a:graphic>
              </wp:inline>
            </w:drawing>
          </w:r>
        </w:p>
      </w:tc>
      <w:tc>
        <w:tcPr>
          <w:tcW w:w="4508" w:type="dxa"/>
          <w:shd w:val="clear" w:color="auto" w:fill="1F4E79" w:themeFill="accent5" w:themeFillShade="80"/>
          <w:vAlign w:val="center"/>
        </w:tcPr>
        <w:p w14:paraId="0993D279" w14:textId="77777777" w:rsidR="001C1FFC" w:rsidRDefault="001C1FFC" w:rsidP="001C1FFC">
          <w:pPr>
            <w:pStyle w:val="Header"/>
            <w:rPr>
              <w:b/>
              <w:bCs/>
              <w:i/>
              <w:iCs/>
            </w:rPr>
          </w:pPr>
        </w:p>
        <w:p w14:paraId="0C7B2407" w14:textId="03F282E2" w:rsidR="001C1FFC" w:rsidRPr="001C1FFC" w:rsidRDefault="001C1FFC" w:rsidP="001C1FFC">
          <w:pPr>
            <w:pStyle w:val="Header"/>
            <w:jc w:val="right"/>
            <w:rPr>
              <w:color w:val="FFFFFF" w:themeColor="background1"/>
              <w:sz w:val="28"/>
              <w:szCs w:val="28"/>
            </w:rPr>
          </w:pPr>
          <w:r w:rsidRPr="001C1FFC">
            <w:rPr>
              <w:b/>
              <w:bCs/>
              <w:i/>
              <w:iCs/>
              <w:color w:val="FFFFFF" w:themeColor="background1"/>
              <w:sz w:val="28"/>
              <w:szCs w:val="28"/>
            </w:rPr>
            <w:t>The</w:t>
          </w:r>
          <w:r w:rsidRPr="001C1FFC">
            <w:rPr>
              <w:color w:val="FFFFFF" w:themeColor="background1"/>
              <w:sz w:val="28"/>
              <w:szCs w:val="28"/>
            </w:rPr>
            <w:t> Pharmaceutical Consultancy</w:t>
          </w:r>
        </w:p>
        <w:p w14:paraId="122535E6" w14:textId="3619AF8D" w:rsidR="001C1FFC" w:rsidRDefault="001C1FFC" w:rsidP="001C1FFC">
          <w:pPr>
            <w:pStyle w:val="Header"/>
          </w:pPr>
        </w:p>
      </w:tc>
    </w:tr>
  </w:tbl>
  <w:p w14:paraId="7D451CF4" w14:textId="480E60DF" w:rsidR="001C1FFC" w:rsidRPr="001C1FFC" w:rsidRDefault="001C1FFC" w:rsidP="001C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68C"/>
    <w:multiLevelType w:val="multilevel"/>
    <w:tmpl w:val="CBD6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86917"/>
    <w:multiLevelType w:val="hybridMultilevel"/>
    <w:tmpl w:val="1624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40569"/>
    <w:multiLevelType w:val="multilevel"/>
    <w:tmpl w:val="9B3A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E21E7"/>
    <w:multiLevelType w:val="multilevel"/>
    <w:tmpl w:val="854E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344DB"/>
    <w:multiLevelType w:val="multilevel"/>
    <w:tmpl w:val="B5FA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FC"/>
    <w:rsid w:val="000923B4"/>
    <w:rsid w:val="000C354D"/>
    <w:rsid w:val="001B33C5"/>
    <w:rsid w:val="001C1FFC"/>
    <w:rsid w:val="00410FE1"/>
    <w:rsid w:val="00505BA6"/>
    <w:rsid w:val="00567834"/>
    <w:rsid w:val="00652564"/>
    <w:rsid w:val="00746263"/>
    <w:rsid w:val="007D7FA2"/>
    <w:rsid w:val="00892724"/>
    <w:rsid w:val="00973178"/>
    <w:rsid w:val="00BD2106"/>
    <w:rsid w:val="00DB6246"/>
    <w:rsid w:val="00E82D11"/>
    <w:rsid w:val="00EC1B8A"/>
    <w:rsid w:val="00EF5EB3"/>
    <w:rsid w:val="00F7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E913D"/>
  <w15:chartTrackingRefBased/>
  <w15:docId w15:val="{90DA6D6E-5B6D-4C26-8903-647ABC4C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FFC"/>
  </w:style>
  <w:style w:type="paragraph" w:styleId="Footer">
    <w:name w:val="footer"/>
    <w:basedOn w:val="Normal"/>
    <w:link w:val="FooterChar"/>
    <w:uiPriority w:val="99"/>
    <w:unhideWhenUsed/>
    <w:rsid w:val="001C1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FFC"/>
  </w:style>
  <w:style w:type="table" w:styleId="TableGrid">
    <w:name w:val="Table Grid"/>
    <w:basedOn w:val="TableNormal"/>
    <w:uiPriority w:val="3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263"/>
    <w:pPr>
      <w:ind w:left="720"/>
      <w:contextualSpacing/>
    </w:pPr>
  </w:style>
  <w:style w:type="character" w:styleId="CommentReference">
    <w:name w:val="annotation reference"/>
    <w:basedOn w:val="DefaultParagraphFont"/>
    <w:uiPriority w:val="99"/>
    <w:semiHidden/>
    <w:unhideWhenUsed/>
    <w:rsid w:val="00410FE1"/>
    <w:rPr>
      <w:sz w:val="16"/>
      <w:szCs w:val="16"/>
    </w:rPr>
  </w:style>
  <w:style w:type="paragraph" w:styleId="CommentText">
    <w:name w:val="annotation text"/>
    <w:basedOn w:val="Normal"/>
    <w:link w:val="CommentTextChar"/>
    <w:uiPriority w:val="99"/>
    <w:semiHidden/>
    <w:unhideWhenUsed/>
    <w:rsid w:val="00410FE1"/>
    <w:pPr>
      <w:spacing w:line="240" w:lineRule="auto"/>
    </w:pPr>
    <w:rPr>
      <w:sz w:val="20"/>
      <w:szCs w:val="20"/>
    </w:rPr>
  </w:style>
  <w:style w:type="character" w:customStyle="1" w:styleId="CommentTextChar">
    <w:name w:val="Comment Text Char"/>
    <w:basedOn w:val="DefaultParagraphFont"/>
    <w:link w:val="CommentText"/>
    <w:uiPriority w:val="99"/>
    <w:semiHidden/>
    <w:rsid w:val="00410FE1"/>
    <w:rPr>
      <w:sz w:val="20"/>
      <w:szCs w:val="20"/>
    </w:rPr>
  </w:style>
  <w:style w:type="paragraph" w:styleId="CommentSubject">
    <w:name w:val="annotation subject"/>
    <w:basedOn w:val="CommentText"/>
    <w:next w:val="CommentText"/>
    <w:link w:val="CommentSubjectChar"/>
    <w:uiPriority w:val="99"/>
    <w:semiHidden/>
    <w:unhideWhenUsed/>
    <w:rsid w:val="00410FE1"/>
    <w:rPr>
      <w:b/>
      <w:bCs/>
    </w:rPr>
  </w:style>
  <w:style w:type="character" w:customStyle="1" w:styleId="CommentSubjectChar">
    <w:name w:val="Comment Subject Char"/>
    <w:basedOn w:val="CommentTextChar"/>
    <w:link w:val="CommentSubject"/>
    <w:uiPriority w:val="99"/>
    <w:semiHidden/>
    <w:rsid w:val="00410FE1"/>
    <w:rPr>
      <w:b/>
      <w:bCs/>
      <w:sz w:val="20"/>
      <w:szCs w:val="20"/>
    </w:rPr>
  </w:style>
  <w:style w:type="paragraph" w:styleId="BalloonText">
    <w:name w:val="Balloon Text"/>
    <w:basedOn w:val="Normal"/>
    <w:link w:val="BalloonTextChar"/>
    <w:uiPriority w:val="99"/>
    <w:semiHidden/>
    <w:unhideWhenUsed/>
    <w:rsid w:val="0041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8914">
      <w:bodyDiv w:val="1"/>
      <w:marLeft w:val="0"/>
      <w:marRight w:val="0"/>
      <w:marTop w:val="0"/>
      <w:marBottom w:val="0"/>
      <w:divBdr>
        <w:top w:val="none" w:sz="0" w:space="0" w:color="auto"/>
        <w:left w:val="none" w:sz="0" w:space="0" w:color="auto"/>
        <w:bottom w:val="none" w:sz="0" w:space="0" w:color="auto"/>
        <w:right w:val="none" w:sz="0" w:space="0" w:color="auto"/>
      </w:divBdr>
      <w:divsChild>
        <w:div w:id="614866097">
          <w:marLeft w:val="0"/>
          <w:marRight w:val="0"/>
          <w:marTop w:val="0"/>
          <w:marBottom w:val="0"/>
          <w:divBdr>
            <w:top w:val="none" w:sz="0" w:space="0" w:color="auto"/>
            <w:left w:val="none" w:sz="0" w:space="0" w:color="auto"/>
            <w:bottom w:val="none" w:sz="0" w:space="0" w:color="auto"/>
            <w:right w:val="none" w:sz="0" w:space="0" w:color="auto"/>
          </w:divBdr>
        </w:div>
        <w:div w:id="2034459906">
          <w:marLeft w:val="0"/>
          <w:marRight w:val="0"/>
          <w:marTop w:val="0"/>
          <w:marBottom w:val="0"/>
          <w:divBdr>
            <w:top w:val="none" w:sz="0" w:space="0" w:color="auto"/>
            <w:left w:val="none" w:sz="0" w:space="0" w:color="auto"/>
            <w:bottom w:val="none" w:sz="0" w:space="0" w:color="auto"/>
            <w:right w:val="none" w:sz="0" w:space="0" w:color="auto"/>
          </w:divBdr>
        </w:div>
      </w:divsChild>
    </w:div>
    <w:div w:id="457455455">
      <w:bodyDiv w:val="1"/>
      <w:marLeft w:val="0"/>
      <w:marRight w:val="0"/>
      <w:marTop w:val="0"/>
      <w:marBottom w:val="0"/>
      <w:divBdr>
        <w:top w:val="none" w:sz="0" w:space="0" w:color="auto"/>
        <w:left w:val="none" w:sz="0" w:space="0" w:color="auto"/>
        <w:bottom w:val="none" w:sz="0" w:space="0" w:color="auto"/>
        <w:right w:val="none" w:sz="0" w:space="0" w:color="auto"/>
      </w:divBdr>
      <w:divsChild>
        <w:div w:id="1171068280">
          <w:marLeft w:val="0"/>
          <w:marRight w:val="0"/>
          <w:marTop w:val="0"/>
          <w:marBottom w:val="0"/>
          <w:divBdr>
            <w:top w:val="none" w:sz="0" w:space="0" w:color="auto"/>
            <w:left w:val="none" w:sz="0" w:space="0" w:color="auto"/>
            <w:bottom w:val="none" w:sz="0" w:space="0" w:color="auto"/>
            <w:right w:val="none" w:sz="0" w:space="0" w:color="auto"/>
          </w:divBdr>
        </w:div>
        <w:div w:id="379789241">
          <w:marLeft w:val="0"/>
          <w:marRight w:val="0"/>
          <w:marTop w:val="0"/>
          <w:marBottom w:val="0"/>
          <w:divBdr>
            <w:top w:val="none" w:sz="0" w:space="0" w:color="auto"/>
            <w:left w:val="none" w:sz="0" w:space="0" w:color="auto"/>
            <w:bottom w:val="none" w:sz="0" w:space="0" w:color="auto"/>
            <w:right w:val="none" w:sz="0" w:space="0" w:color="auto"/>
          </w:divBdr>
        </w:div>
      </w:divsChild>
    </w:div>
    <w:div w:id="503210296">
      <w:bodyDiv w:val="1"/>
      <w:marLeft w:val="0"/>
      <w:marRight w:val="0"/>
      <w:marTop w:val="0"/>
      <w:marBottom w:val="0"/>
      <w:divBdr>
        <w:top w:val="none" w:sz="0" w:space="0" w:color="auto"/>
        <w:left w:val="none" w:sz="0" w:space="0" w:color="auto"/>
        <w:bottom w:val="none" w:sz="0" w:space="0" w:color="auto"/>
        <w:right w:val="none" w:sz="0" w:space="0" w:color="auto"/>
      </w:divBdr>
    </w:div>
    <w:div w:id="830483791">
      <w:bodyDiv w:val="1"/>
      <w:marLeft w:val="0"/>
      <w:marRight w:val="0"/>
      <w:marTop w:val="0"/>
      <w:marBottom w:val="0"/>
      <w:divBdr>
        <w:top w:val="none" w:sz="0" w:space="0" w:color="auto"/>
        <w:left w:val="none" w:sz="0" w:space="0" w:color="auto"/>
        <w:bottom w:val="none" w:sz="0" w:space="0" w:color="auto"/>
        <w:right w:val="none" w:sz="0" w:space="0" w:color="auto"/>
      </w:divBdr>
    </w:div>
    <w:div w:id="1141457919">
      <w:bodyDiv w:val="1"/>
      <w:marLeft w:val="0"/>
      <w:marRight w:val="0"/>
      <w:marTop w:val="0"/>
      <w:marBottom w:val="0"/>
      <w:divBdr>
        <w:top w:val="none" w:sz="0" w:space="0" w:color="auto"/>
        <w:left w:val="none" w:sz="0" w:space="0" w:color="auto"/>
        <w:bottom w:val="none" w:sz="0" w:space="0" w:color="auto"/>
        <w:right w:val="none" w:sz="0" w:space="0" w:color="auto"/>
      </w:divBdr>
    </w:div>
    <w:div w:id="1375693311">
      <w:bodyDiv w:val="1"/>
      <w:marLeft w:val="0"/>
      <w:marRight w:val="0"/>
      <w:marTop w:val="0"/>
      <w:marBottom w:val="0"/>
      <w:divBdr>
        <w:top w:val="none" w:sz="0" w:space="0" w:color="auto"/>
        <w:left w:val="none" w:sz="0" w:space="0" w:color="auto"/>
        <w:bottom w:val="none" w:sz="0" w:space="0" w:color="auto"/>
        <w:right w:val="none" w:sz="0" w:space="0" w:color="auto"/>
      </w:divBdr>
    </w:div>
    <w:div w:id="1527282884">
      <w:bodyDiv w:val="1"/>
      <w:marLeft w:val="0"/>
      <w:marRight w:val="0"/>
      <w:marTop w:val="0"/>
      <w:marBottom w:val="0"/>
      <w:divBdr>
        <w:top w:val="none" w:sz="0" w:space="0" w:color="auto"/>
        <w:left w:val="none" w:sz="0" w:space="0" w:color="auto"/>
        <w:bottom w:val="none" w:sz="0" w:space="0" w:color="auto"/>
        <w:right w:val="none" w:sz="0" w:space="0" w:color="auto"/>
      </w:divBdr>
    </w:div>
    <w:div w:id="1614173450">
      <w:bodyDiv w:val="1"/>
      <w:marLeft w:val="0"/>
      <w:marRight w:val="0"/>
      <w:marTop w:val="0"/>
      <w:marBottom w:val="0"/>
      <w:divBdr>
        <w:top w:val="none" w:sz="0" w:space="0" w:color="auto"/>
        <w:left w:val="none" w:sz="0" w:space="0" w:color="auto"/>
        <w:bottom w:val="none" w:sz="0" w:space="0" w:color="auto"/>
        <w:right w:val="none" w:sz="0" w:space="0" w:color="auto"/>
      </w:divBdr>
    </w:div>
    <w:div w:id="1657342803">
      <w:bodyDiv w:val="1"/>
      <w:marLeft w:val="0"/>
      <w:marRight w:val="0"/>
      <w:marTop w:val="0"/>
      <w:marBottom w:val="0"/>
      <w:divBdr>
        <w:top w:val="none" w:sz="0" w:space="0" w:color="auto"/>
        <w:left w:val="none" w:sz="0" w:space="0" w:color="auto"/>
        <w:bottom w:val="none" w:sz="0" w:space="0" w:color="auto"/>
        <w:right w:val="none" w:sz="0" w:space="0" w:color="auto"/>
      </w:divBdr>
    </w:div>
    <w:div w:id="1798332385">
      <w:bodyDiv w:val="1"/>
      <w:marLeft w:val="0"/>
      <w:marRight w:val="0"/>
      <w:marTop w:val="0"/>
      <w:marBottom w:val="0"/>
      <w:divBdr>
        <w:top w:val="none" w:sz="0" w:space="0" w:color="auto"/>
        <w:left w:val="none" w:sz="0" w:space="0" w:color="auto"/>
        <w:bottom w:val="none" w:sz="0" w:space="0" w:color="auto"/>
        <w:right w:val="none" w:sz="0" w:space="0" w:color="auto"/>
      </w:divBdr>
    </w:div>
    <w:div w:id="2060132556">
      <w:bodyDiv w:val="1"/>
      <w:marLeft w:val="0"/>
      <w:marRight w:val="0"/>
      <w:marTop w:val="0"/>
      <w:marBottom w:val="0"/>
      <w:divBdr>
        <w:top w:val="none" w:sz="0" w:space="0" w:color="auto"/>
        <w:left w:val="none" w:sz="0" w:space="0" w:color="auto"/>
        <w:bottom w:val="none" w:sz="0" w:space="0" w:color="auto"/>
        <w:right w:val="none" w:sz="0" w:space="0" w:color="auto"/>
      </w:divBdr>
    </w:div>
    <w:div w:id="21023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Bowden</dc:creator>
  <cp:keywords/>
  <dc:description/>
  <cp:lastModifiedBy>Michael Bowden</cp:lastModifiedBy>
  <cp:revision>2</cp:revision>
  <dcterms:created xsi:type="dcterms:W3CDTF">2020-12-01T17:33:00Z</dcterms:created>
  <dcterms:modified xsi:type="dcterms:W3CDTF">2020-12-01T17:33:00Z</dcterms:modified>
</cp:coreProperties>
</file>